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86000" cy="17495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4958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b/>
          <w:color w:val="1A73E8"/>
          <w:sz w:val="72"/>
        </w:rPr>
        <w:t>SyncTide</w:t>
      </w:r>
    </w:p>
    <w:p>
      <w:pPr>
        <w:jc w:val="center"/>
      </w:pPr>
      <w:r>
        <w:rPr>
          <w:b/>
          <w:color w:val="333333"/>
          <w:sz w:val="48"/>
        </w:rPr>
        <w:t>Administrator Manual</w:t>
      </w:r>
    </w:p>
    <w:p>
      <w:pPr>
        <w:jc w:val="center"/>
      </w:pPr>
      <w:r>
        <w:rPr>
          <w:color w:val="666666"/>
          <w:sz w:val="28"/>
        </w:rPr>
        <w:t>System Configuration &amp; Administration Guide</w:t>
      </w:r>
    </w:p>
    <w:p/>
    <w:p>
      <w:pPr>
        <w:jc w:val="center"/>
      </w:pPr>
      <w:r>
        <w:rPr>
          <w:color w:val="999999"/>
          <w:sz w:val="24"/>
        </w:rPr>
        <w:t>Version 1.5.0 — July 2026</w:t>
      </w:r>
    </w:p>
    <w:p>
      <w:r>
        <w:br w:type="page"/>
      </w:r>
    </w:p>
    <w:p>
      <w:pPr>
        <w:pStyle w:val="Heading1"/>
      </w:pPr>
      <w:r>
        <w:rPr>
          <w:color w:val="1A73E8"/>
        </w:rPr>
        <w:t>Table of Contents</w:t>
      </w:r>
    </w:p>
    <w:p>
      <w:r>
        <w:t>(Use Insert &gt; Table of Contents in Word/LibreOffice to auto-generate)</w:t>
      </w:r>
    </w:p>
    <w:p>
      <w:r>
        <w:br w:type="page"/>
      </w:r>
    </w:p>
    <w:p>
      <w:pPr>
        <w:pStyle w:val="Heading1"/>
      </w:pPr>
      <w:r>
        <w:rPr>
          <w:color w:val="1A73E8"/>
        </w:rPr>
        <w:t>1. Introduction</w:t>
      </w:r>
    </w:p>
    <w:p>
      <w:r>
        <w:t>This manual is intended for SyncTide administrators. It covers all administrative functions: user management, equipment configuration, system settings, messaging gateways, and platform maintenance.</w:t>
      </w:r>
    </w:p>
    <w:p>
      <w:r>
        <w:t>Prerequisites: Admin-level access to SyncTide.</w:t>
      </w:r>
    </w:p>
    <w:p>
      <w:r>
        <w:br w:type="page"/>
      </w:r>
    </w:p>
    <w:p>
      <w:pPr>
        <w:pStyle w:val="Heading1"/>
      </w:pPr>
      <w:r>
        <w:rPr>
          <w:color w:val="1A73E8"/>
        </w:rPr>
        <w:t>2. User Administration</w:t>
      </w:r>
    </w:p>
    <w:p>
      <w:r>
        <w:t>Navigate to Users from the navigation bar (admin only).</w:t>
      </w:r>
    </w:p>
    <w:p>
      <w:pPr>
        <w:pStyle w:val="Heading2"/>
      </w:pPr>
      <w:r>
        <w:rPr>
          <w:color w:val="2C2C2C"/>
        </w:rPr>
        <w:t>2.1 Creating Users</w:t>
      </w:r>
    </w:p>
    <w:p>
      <w:pPr>
        <w:pStyle w:val="ListNumber"/>
      </w:pPr>
      <w:r>
        <w:t>Click 'Add New User'</w:t>
      </w:r>
    </w:p>
    <w:p>
      <w:pPr>
        <w:pStyle w:val="ListNumber"/>
      </w:pPr>
      <w:r>
        <w:t>Enter username (required) and password (required)</w:t>
      </w:r>
    </w:p>
    <w:p>
      <w:pPr>
        <w:pStyle w:val="ListNumber"/>
      </w:pPr>
      <w:r>
        <w:t>Set the role: Admin, Operator, or Viewer (page access follows the role)</w:t>
      </w:r>
    </w:p>
    <w:p>
      <w:pPr>
        <w:pStyle w:val="ListNumber"/>
      </w:pPr>
      <w:r>
        <w:t>Optionally restrict access to specific equipment categories or devices</w:t>
      </w:r>
    </w:p>
    <w:p>
      <w:pPr>
        <w:pStyle w:val="ListNumber"/>
      </w:pPr>
      <w:r>
        <w:t>Click Create</w:t>
      </w:r>
    </w:p>
    <w:p>
      <w:pPr>
        <w:pStyle w:val="Heading2"/>
      </w:pPr>
      <w:r>
        <w:rPr>
          <w:color w:val="2C2C2C"/>
        </w:rPr>
        <w:t>2.2 Managing Users</w:t>
      </w:r>
    </w:p>
    <w:p>
      <w:r>
        <w:t>The user list shows all accounts with their role (colour-coded), status, and permissions.</w:t>
      </w:r>
    </w:p>
    <w:p>
      <w:pPr>
        <w:pStyle w:val="ListBullet"/>
      </w:pPr>
      <w:r>
        <w:t>Click the edit button to modify a user's profile, role, permissions, or equipment whitelist</w:t>
      </w:r>
    </w:p>
    <w:p>
      <w:pPr>
        <w:pStyle w:val="ListBullet"/>
      </w:pPr>
      <w:r>
        <w:t>Toggle Active/Inactive to enable or disable an account</w:t>
      </w:r>
    </w:p>
    <w:p>
      <w:pPr>
        <w:pStyle w:val="ListBullet"/>
      </w:pPr>
      <w:r>
        <w:t>Use the password section to reset a user's password</w:t>
      </w:r>
    </w:p>
    <w:p>
      <w:pPr>
        <w:pStyle w:val="ListBullet"/>
      </w:pPr>
      <w:r>
        <w:t>Click Delete to permanently remove a user (requires confirmation)</w:t>
      </w:r>
    </w:p>
    <w:p>
      <w:r>
        <w:rPr>
          <w:i/>
          <w:color w:val="666666"/>
        </w:rPr>
        <w:t>Note: You cannot delete your own account or the last active admin account.</w:t>
      </w:r>
    </w:p>
    <w:p>
      <w:pPr>
        <w:pStyle w:val="Heading2"/>
      </w:pPr>
      <w:r>
        <w:rPr>
          <w:color w:val="2C2C2C"/>
        </w:rPr>
        <w:t>2.3 Role Permissions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b/>
              </w:rPr>
              <w:t>Feature</w:t>
            </w:r>
          </w:p>
        </w:tc>
        <w:tc>
          <w:tcPr>
            <w:tcW w:type="dxa" w:w="2351"/>
          </w:tcPr>
          <w:p>
            <w:r>
              <w:rPr>
                <w:b/>
              </w:rPr>
              <w:t>Viewer</w:t>
            </w:r>
          </w:p>
        </w:tc>
        <w:tc>
          <w:tcPr>
            <w:tcW w:type="dxa" w:w="2351"/>
          </w:tcPr>
          <w:p>
            <w:r>
              <w:rPr>
                <w:b/>
              </w:rPr>
              <w:t>Operator</w:t>
            </w:r>
          </w:p>
        </w:tc>
        <w:tc>
          <w:tcPr>
            <w:tcW w:type="dxa" w:w="2351"/>
          </w:tcPr>
          <w:p>
            <w:r>
              <w:rPr>
                <w:b/>
              </w:rPr>
              <w:t>Admin</w:t>
            </w:r>
          </w:p>
        </w:tc>
      </w:tr>
      <w:tr>
        <w:tc>
          <w:tcPr>
            <w:tcW w:type="dxa" w:w="2351"/>
          </w:tcPr>
          <w:p>
            <w:r>
              <w:t>Dashboard / Explorer</w:t>
            </w:r>
          </w:p>
        </w:tc>
        <w:tc>
          <w:tcPr>
            <w:tcW w:type="dxa" w:w="2351"/>
          </w:tcPr>
          <w:p>
            <w:r>
              <w:t>View</w:t>
            </w:r>
          </w:p>
        </w:tc>
        <w:tc>
          <w:tcPr>
            <w:tcW w:type="dxa" w:w="2351"/>
          </w:tcPr>
          <w:p>
            <w:r>
              <w:t>View</w:t>
            </w:r>
          </w:p>
        </w:tc>
        <w:tc>
          <w:tcPr>
            <w:tcW w:type="dxa" w:w="2351"/>
          </w:tcPr>
          <w:p>
            <w:r>
              <w:t>View + Export</w:t>
            </w:r>
          </w:p>
        </w:tc>
      </w:tr>
      <w:tr>
        <w:tc>
          <w:tcPr>
            <w:tcW w:type="dxa" w:w="2351"/>
          </w:tcPr>
          <w:p>
            <w:r>
              <w:t>Alarms</w:t>
            </w:r>
          </w:p>
        </w:tc>
        <w:tc>
          <w:tcPr>
            <w:tcW w:type="dxa" w:w="2351"/>
          </w:tcPr>
          <w:p>
            <w:r>
              <w:t>View + Acknowledge</w:t>
            </w:r>
          </w:p>
        </w:tc>
        <w:tc>
          <w:tcPr>
            <w:tcW w:type="dxa" w:w="2351"/>
          </w:tcPr>
          <w:p>
            <w:r>
              <w:t>View + Acknowledge</w:t>
            </w:r>
          </w:p>
        </w:tc>
        <w:tc>
          <w:tcPr>
            <w:tcW w:type="dxa" w:w="2351"/>
          </w:tcPr>
          <w:p>
            <w:r>
              <w:t>Full control</w:t>
            </w:r>
          </w:p>
        </w:tc>
      </w:tr>
      <w:tr>
        <w:tc>
          <w:tcPr>
            <w:tcW w:type="dxa" w:w="2351"/>
          </w:tcPr>
          <w:p>
            <w:r>
              <w:t>Reports</w:t>
            </w:r>
          </w:p>
        </w:tc>
        <w:tc>
          <w:tcPr>
            <w:tcW w:type="dxa" w:w="2351"/>
          </w:tcPr>
          <w:p>
            <w:r>
              <w:t>View + Download</w:t>
            </w:r>
          </w:p>
        </w:tc>
        <w:tc>
          <w:tcPr>
            <w:tcW w:type="dxa" w:w="2351"/>
          </w:tcPr>
          <w:p>
            <w:r>
              <w:t>View + Download</w:t>
            </w:r>
          </w:p>
        </w:tc>
        <w:tc>
          <w:tcPr>
            <w:tcW w:type="dxa" w:w="2351"/>
          </w:tcPr>
          <w:p>
            <w:r>
              <w:t>Full control</w:t>
            </w:r>
          </w:p>
        </w:tc>
      </w:tr>
      <w:tr>
        <w:tc>
          <w:tcPr>
            <w:tcW w:type="dxa" w:w="2351"/>
          </w:tcPr>
          <w:p>
            <w:r>
              <w:t>Messaging Contacts</w:t>
            </w:r>
          </w:p>
        </w:tc>
        <w:tc>
          <w:tcPr>
            <w:tcW w:type="dxa" w:w="2351"/>
          </w:tcPr>
          <w:p>
            <w:r>
              <w:t>—</w:t>
            </w:r>
          </w:p>
        </w:tc>
        <w:tc>
          <w:tcPr>
            <w:tcW w:type="dxa" w:w="2351"/>
          </w:tcPr>
          <w:p>
            <w:r>
              <w:t>Create/Edit/Delete</w:t>
            </w:r>
          </w:p>
        </w:tc>
        <w:tc>
          <w:tcPr>
            <w:tcW w:type="dxa" w:w="2351"/>
          </w:tcPr>
          <w:p>
            <w:r>
              <w:t>Full control</w:t>
            </w:r>
          </w:p>
        </w:tc>
      </w:tr>
      <w:tr>
        <w:tc>
          <w:tcPr>
            <w:tcW w:type="dxa" w:w="2351"/>
          </w:tcPr>
          <w:p>
            <w:r>
              <w:t>Messaging Rules</w:t>
            </w:r>
          </w:p>
        </w:tc>
        <w:tc>
          <w:tcPr>
            <w:tcW w:type="dxa" w:w="2351"/>
          </w:tcPr>
          <w:p>
            <w:r>
              <w:t>—</w:t>
            </w:r>
          </w:p>
        </w:tc>
        <w:tc>
          <w:tcPr>
            <w:tcW w:type="dxa" w:w="2351"/>
          </w:tcPr>
          <w:p>
            <w:r>
              <w:t>Create/Edit/Delete</w:t>
            </w:r>
          </w:p>
        </w:tc>
        <w:tc>
          <w:tcPr>
            <w:tcW w:type="dxa" w:w="2351"/>
          </w:tcPr>
          <w:p>
            <w:r>
              <w:t>Full control</w:t>
            </w:r>
          </w:p>
        </w:tc>
      </w:tr>
      <w:tr>
        <w:tc>
          <w:tcPr>
            <w:tcW w:type="dxa" w:w="2351"/>
          </w:tcPr>
          <w:p>
            <w:r>
              <w:t>Messaging Gateways</w:t>
            </w:r>
          </w:p>
        </w:tc>
        <w:tc>
          <w:tcPr>
            <w:tcW w:type="dxa" w:w="2351"/>
          </w:tcPr>
          <w:p>
            <w:r>
              <w:t>—</w:t>
            </w:r>
          </w:p>
        </w:tc>
        <w:tc>
          <w:tcPr>
            <w:tcW w:type="dxa" w:w="2351"/>
          </w:tcPr>
          <w:p>
            <w:r>
              <w:t>View</w:t>
            </w:r>
          </w:p>
        </w:tc>
        <w:tc>
          <w:tcPr>
            <w:tcW w:type="dxa" w:w="2351"/>
          </w:tcPr>
          <w:p>
            <w:r>
              <w:t>Full control</w:t>
            </w:r>
          </w:p>
        </w:tc>
      </w:tr>
      <w:tr>
        <w:tc>
          <w:tcPr>
            <w:tcW w:type="dxa" w:w="2351"/>
          </w:tcPr>
          <w:p>
            <w:r>
              <w:t>Equipment Config</w:t>
            </w:r>
          </w:p>
        </w:tc>
        <w:tc>
          <w:tcPr>
            <w:tcW w:type="dxa" w:w="2351"/>
          </w:tcPr>
          <w:p>
            <w:r>
              <w:t>—</w:t>
            </w:r>
          </w:p>
        </w:tc>
        <w:tc>
          <w:tcPr>
            <w:tcW w:type="dxa" w:w="2351"/>
          </w:tcPr>
          <w:p>
            <w:r>
              <w:t>Create/Edit</w:t>
            </w:r>
          </w:p>
        </w:tc>
        <w:tc>
          <w:tcPr>
            <w:tcW w:type="dxa" w:w="2351"/>
          </w:tcPr>
          <w:p>
            <w:r>
              <w:t>Full control</w:t>
            </w:r>
          </w:p>
        </w:tc>
      </w:tr>
      <w:tr>
        <w:tc>
          <w:tcPr>
            <w:tcW w:type="dxa" w:w="2351"/>
          </w:tcPr>
          <w:p>
            <w:r>
              <w:t>Users</w:t>
            </w:r>
          </w:p>
        </w:tc>
        <w:tc>
          <w:tcPr>
            <w:tcW w:type="dxa" w:w="2351"/>
          </w:tcPr>
          <w:p>
            <w:r>
              <w:t>—</w:t>
            </w:r>
          </w:p>
        </w:tc>
        <w:tc>
          <w:tcPr>
            <w:tcW w:type="dxa" w:w="2351"/>
          </w:tcPr>
          <w:p>
            <w:r>
              <w:t>—</w:t>
            </w:r>
          </w:p>
        </w:tc>
        <w:tc>
          <w:tcPr>
            <w:tcW w:type="dxa" w:w="2351"/>
          </w:tcPr>
          <w:p>
            <w:r>
              <w:t>Full control</w:t>
            </w:r>
          </w:p>
        </w:tc>
      </w:tr>
      <w:tr>
        <w:tc>
          <w:tcPr>
            <w:tcW w:type="dxa" w:w="2351"/>
          </w:tcPr>
          <w:p>
            <w:r>
              <w:t>Configuration / Settings</w:t>
            </w:r>
          </w:p>
        </w:tc>
        <w:tc>
          <w:tcPr>
            <w:tcW w:type="dxa" w:w="2351"/>
          </w:tcPr>
          <w:p>
            <w:r>
              <w:t>—</w:t>
            </w:r>
          </w:p>
        </w:tc>
        <w:tc>
          <w:tcPr>
            <w:tcW w:type="dxa" w:w="2351"/>
          </w:tcPr>
          <w:p>
            <w:r>
              <w:t>—</w:t>
            </w:r>
          </w:p>
        </w:tc>
        <w:tc>
          <w:tcPr>
            <w:tcW w:type="dxa" w:w="2351"/>
          </w:tcPr>
          <w:p>
            <w:r>
              <w:t>Full control</w:t>
            </w:r>
          </w:p>
        </w:tc>
      </w:tr>
    </w:tbl>
    <w:p/>
    <w:p>
      <w:pPr>
        <w:pStyle w:val="Heading2"/>
      </w:pPr>
      <w:r>
        <w:rPr>
          <w:color w:val="2C2C2C"/>
        </w:rPr>
        <w:t>2.4 Equipment Whitelist</w:t>
      </w:r>
    </w:p>
    <w:p>
      <w:r>
        <w:t>Each user can be restricted to specific equipment:</w:t>
      </w:r>
    </w:p>
    <w:p>
      <w:pPr>
        <w:pStyle w:val="ListBullet"/>
      </w:pPr>
      <w:r>
        <w:t>By Category: User only sees devices in the selected categories (including sub-categories)</w:t>
      </w:r>
    </w:p>
    <w:p>
      <w:pPr>
        <w:pStyle w:val="ListBullet"/>
      </w:pPr>
      <w:r>
        <w:t>By Device: User only sees specifically listed devices</w:t>
      </w:r>
    </w:p>
    <w:p>
      <w:pPr>
        <w:pStyle w:val="ListBullet"/>
      </w:pPr>
      <w:r>
        <w:t>Empty whitelist: User sees all devices</w:t>
      </w:r>
    </w:p>
    <w:p>
      <w:r>
        <w:t>The whitelist applies across Dashboard, Reports, Map, and all data endpoints.</w:t>
      </w:r>
    </w:p>
    <w:p>
      <w:r>
        <w:br w:type="page"/>
      </w:r>
    </w:p>
    <w:p>
      <w:pPr>
        <w:pStyle w:val="Heading1"/>
      </w:pPr>
      <w:r>
        <w:rPr>
          <w:color w:val="1A73E8"/>
        </w:rPr>
        <w:t>3. Equipment Configuration</w:t>
      </w:r>
    </w:p>
    <w:p>
      <w:r>
        <w:t>Navigate to the Equipment page from the navigation bar. It has four tabs: Metadata, Tag Mapping, Monitoring &amp; Alarms, and Communication.</w:t>
      </w:r>
    </w:p>
    <w:p>
      <w:pPr>
        <w:pStyle w:val="Heading2"/>
      </w:pPr>
      <w:r>
        <w:rPr>
          <w:color w:val="2C2C2C"/>
        </w:rPr>
        <w:t>3.1 Adding Devices</w:t>
      </w:r>
    </w:p>
    <w:p>
      <w:r>
        <w:t>Use the 'Add device' control at the top of the page to register a new device. You set its code, name, alarm category, and the ingestion protocol (CSV, Modbus TCP, OPC UA, IEC 60870-5-104, MQTT/Sparkplug B). You can change the protocol later from the Communication tab.</w:t>
      </w:r>
    </w:p>
    <w:p>
      <w:pPr>
        <w:pStyle w:val="Heading2"/>
      </w:pPr>
      <w:r>
        <w:rPr>
          <w:color w:val="2C2C2C"/>
        </w:rPr>
        <w:t>3.2 Device Metadata</w:t>
      </w:r>
    </w:p>
    <w:p>
      <w:r>
        <w:t>Select a device from the dropdown. The Metadata tab lets you edit:</w:t>
      </w:r>
    </w:p>
    <w:p>
      <w:pPr>
        <w:pStyle w:val="ListBullet"/>
      </w:pPr>
      <w:r>
        <w:t>Equipment name and device code</w:t>
      </w:r>
    </w:p>
    <w:p>
      <w:pPr>
        <w:pStyle w:val="ListBullet"/>
      </w:pPr>
      <w:r>
        <w:t>Equipment group (used for filtering and organisation)</w:t>
      </w:r>
    </w:p>
    <w:p>
      <w:pPr>
        <w:pStyle w:val="ListBullet"/>
      </w:pPr>
      <w:r>
        <w:t>Model and serial number</w:t>
      </w:r>
    </w:p>
    <w:p>
      <w:pPr>
        <w:pStyle w:val="ListBullet"/>
      </w:pPr>
      <w:r>
        <w:t>Latitude and longitude (for map positioning)</w:t>
      </w:r>
    </w:p>
    <w:p>
      <w:pPr>
        <w:pStyle w:val="ListBullet"/>
      </w:pPr>
      <w:r>
        <w:t>Alarm category assignment (hierarchical)</w:t>
      </w:r>
    </w:p>
    <w:p>
      <w:pPr>
        <w:pStyle w:val="Heading2"/>
      </w:pPr>
      <w:r>
        <w:rPr>
          <w:color w:val="2C2C2C"/>
        </w:rPr>
        <w:t>3.3 Communication</w:t>
      </w:r>
    </w:p>
    <w:p>
      <w:r>
        <w:t>The Communication tab configures how SyncTide reads data from the device: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Protocol</w:t>
            </w:r>
          </w:p>
        </w:tc>
        <w:tc>
          <w:tcPr>
            <w:tcW w:type="dxa" w:w="3135"/>
          </w:tcPr>
          <w:p>
            <w:r>
              <w:rPr>
                <w:b/>
              </w:rPr>
              <w:t>Configuration</w:t>
            </w:r>
          </w:p>
        </w:tc>
        <w:tc>
          <w:tcPr>
            <w:tcW w:type="dxa" w:w="3135"/>
          </w:tcPr>
          <w:p>
            <w:r>
              <w:rPr>
                <w:b/>
              </w:rPr>
              <w:t>Tag addressing</w:t>
            </w:r>
          </w:p>
        </w:tc>
      </w:tr>
      <w:tr>
        <w:tc>
          <w:tcPr>
            <w:tcW w:type="dxa" w:w="3135"/>
          </w:tcPr>
          <w:p>
            <w:r>
              <w:t>CSV</w:t>
            </w:r>
          </w:p>
        </w:tc>
        <w:tc>
          <w:tcPr>
            <w:tcW w:type="dxa" w:w="3135"/>
          </w:tcPr>
          <w:p>
            <w:r>
              <w:t>Optional custom folder_path (blank = raw_data/&lt;code&gt;/)</w:t>
            </w:r>
          </w:p>
        </w:tc>
        <w:tc>
          <w:tcPr>
            <w:tcW w:type="dxa" w:w="3135"/>
          </w:tcPr>
          <w:p>
            <w:r>
              <w:t>Via Tag Mapping</w:t>
            </w:r>
          </w:p>
        </w:tc>
      </w:tr>
      <w:tr>
        <w:tc>
          <w:tcPr>
            <w:tcW w:type="dxa" w:w="3135"/>
          </w:tcPr>
          <w:p>
            <w:r>
              <w:t>Modbus TCP</w:t>
            </w:r>
          </w:p>
        </w:tc>
        <w:tc>
          <w:tcPr>
            <w:tcW w:type="dxa" w:w="3135"/>
          </w:tcPr>
          <w:p>
            <w:r>
              <w:t>host, port, unit_id, timeout_ms, address_offset</w:t>
            </w:r>
          </w:p>
        </w:tc>
        <w:tc>
          <w:tcPr>
            <w:tcW w:type="dxa" w:w="3135"/>
          </w:tcPr>
          <w:p>
            <w:r>
              <w:t>40001 or hr:/ir:/di:/coil:, data_type int16/uint16/int32/uint32/float/bool</w:t>
            </w:r>
          </w:p>
        </w:tc>
      </w:tr>
      <w:tr>
        <w:tc>
          <w:tcPr>
            <w:tcW w:type="dxa" w:w="3135"/>
          </w:tcPr>
          <w:p>
            <w:r>
              <w:t>OPC UA</w:t>
            </w:r>
          </w:p>
        </w:tc>
        <w:tc>
          <w:tcPr>
            <w:tcW w:type="dxa" w:w="3135"/>
          </w:tcPr>
          <w:p>
            <w:r>
              <w:t>endpoint_url, optional username/password</w:t>
            </w:r>
          </w:p>
        </w:tc>
        <w:tc>
          <w:tcPr>
            <w:tcW w:type="dxa" w:w="3135"/>
          </w:tcPr>
          <w:p>
            <w:r>
              <w:t>ns=2;s=TagName or ns=2;i=1234</w:t>
            </w:r>
          </w:p>
        </w:tc>
      </w:tr>
      <w:tr>
        <w:tc>
          <w:tcPr>
            <w:tcW w:type="dxa" w:w="3135"/>
          </w:tcPr>
          <w:p>
            <w:r>
              <w:t>IEC 60870-5-104</w:t>
            </w:r>
          </w:p>
        </w:tc>
        <w:tc>
          <w:tcPr>
            <w:tcW w:type="dxa" w:w="3135"/>
          </w:tcPr>
          <w:p>
            <w:r>
              <w:t>host, port (2404), common_address, originator_address</w:t>
            </w:r>
          </w:p>
        </w:tc>
        <w:tc>
          <w:tcPr>
            <w:tcW w:type="dxa" w:w="3135"/>
          </w:tcPr>
          <w:p>
            <w:r>
              <w:t>IOA-addressed points (decoded per type, e.g. M_BO_NA_1)</w:t>
            </w:r>
          </w:p>
        </w:tc>
      </w:tr>
      <w:tr>
        <w:tc>
          <w:tcPr>
            <w:tcW w:type="dxa" w:w="3135"/>
          </w:tcPr>
          <w:p>
            <w:r>
              <w:t>MQTT / Sparkplug B</w:t>
            </w:r>
          </w:p>
        </w:tc>
        <w:tc>
          <w:tcPr>
            <w:tcW w:type="dxa" w:w="3135"/>
          </w:tcPr>
          <w:p>
            <w:r>
              <w:t>broker host, port, topic/namespace, credentials</w:t>
            </w:r>
          </w:p>
        </w:tc>
        <w:tc>
          <w:tcPr>
            <w:tcW w:type="dxa" w:w="3135"/>
          </w:tcPr>
          <w:p>
            <w:r>
              <w:t>Sparkplug metric names / MQTT topics</w:t>
            </w:r>
          </w:p>
        </w:tc>
      </w:tr>
    </w:tbl>
    <w:p/>
    <w:p>
      <w:r>
        <w:t>Each non-CSV device has its own poll interval (1-86400 seconds). The 'Test connection' button probes the device without persisting anything. Polling Modbus TCP, OPC UA, IEC 60870-5-104, or MQTT/Sparkplug B requires a licence that includes the 'protocol_ingestion' module; CSV-only customers are unaffected.</w:t>
      </w:r>
    </w:p>
    <w:p>
      <w:pPr>
        <w:pStyle w:val="Heading2"/>
      </w:pPr>
      <w:r>
        <w:rPr>
          <w:color w:val="2C2C2C"/>
        </w:rPr>
        <w:t>3.4 Tag Mapping</w:t>
      </w:r>
    </w:p>
    <w:p>
      <w:r>
        <w:t>The Tag Mapping tab links raw CSV tags to standardised system tags:</w:t>
      </w:r>
    </w:p>
    <w:p>
      <w:pPr>
        <w:pStyle w:val="ListNumber"/>
      </w:pPr>
      <w:r>
        <w:t>Each row shows an equipment tag name (from the CSV files)</w:t>
      </w:r>
    </w:p>
    <w:p>
      <w:pPr>
        <w:pStyle w:val="ListNumber"/>
      </w:pPr>
      <w:r>
        <w:t>Map it to a System Tag (standardised name + unit)</w:t>
      </w:r>
    </w:p>
    <w:p>
      <w:pPr>
        <w:pStyle w:val="ListNumber"/>
      </w:pPr>
      <w:r>
        <w:t>Set a scale factor for unit conversion (default: 1.0)</w:t>
      </w:r>
    </w:p>
    <w:p>
      <w:pPr>
        <w:pStyle w:val="ListNumber"/>
      </w:pPr>
      <w:r>
        <w:t>Toggle active/inactive to include or exclude tags from monitoring</w:t>
      </w:r>
    </w:p>
    <w:p>
      <w:r>
        <w:rPr>
          <w:i/>
          <w:color w:val="666666"/>
        </w:rPr>
        <w:t>Note: Only active, mapped tags count towards the license tag limit.</w:t>
      </w:r>
    </w:p>
    <w:p>
      <w:pPr>
        <w:pStyle w:val="Heading2"/>
      </w:pPr>
      <w:r>
        <w:rPr>
          <w:color w:val="2C2C2C"/>
        </w:rPr>
        <w:t>3.5 Monitoring &amp; Alarms</w:t>
      </w:r>
    </w:p>
    <w:p>
      <w:r>
        <w:t>The Monitoring tab configures alarm detection for each device:</w:t>
      </w:r>
    </w:p>
    <w:p>
      <w:pPr>
        <w:pStyle w:val="Heading3"/>
      </w:pPr>
      <w:r>
        <w:t>Communication Timeout</w:t>
      </w:r>
    </w:p>
    <w:p>
      <w:r>
        <w:t>Set the maximum time a device can go without sending data before it is considered offline. Configure in Days, Hours, and Minutes.</w:t>
      </w:r>
    </w:p>
    <w:p>
      <w:pPr>
        <w:pStyle w:val="ListBullet"/>
      </w:pPr>
      <w:r>
        <w:t>Communication Lost Alarm Enabled: When checked, the system creates an alarm event when the device goes stale. The alarm auto-clears when data resumes.</w:t>
      </w:r>
    </w:p>
    <w:p>
      <w:pPr>
        <w:pStyle w:val="Heading3"/>
      </w:pPr>
      <w:r>
        <w:t>Alarm Rules per Tag</w:t>
      </w:r>
    </w:p>
    <w:p>
      <w:r>
        <w:t>For each mapped system tag, configure:</w:t>
      </w:r>
    </w:p>
    <w:p>
      <w:pPr>
        <w:pStyle w:val="ListBullet"/>
      </w:pPr>
      <w:r>
        <w:t>Alarm Enabled: Toggle alarm detection on/off</w:t>
      </w:r>
    </w:p>
    <w:p>
      <w:pPr>
        <w:pStyle w:val="ListBullet"/>
      </w:pPr>
      <w:r>
        <w:t>Value Type: Numeric (threshold comparison) or Boolean (true/false)</w:t>
      </w:r>
    </w:p>
    <w:p>
      <w:pPr>
        <w:pStyle w:val="ListBullet"/>
      </w:pPr>
      <w:r>
        <w:t>Condition Operator: &lt;, &lt;=, =, &gt;, &gt;=, != (numeric only)</w:t>
      </w:r>
    </w:p>
    <w:p>
      <w:pPr>
        <w:pStyle w:val="ListBullet"/>
      </w:pPr>
      <w:r>
        <w:t>Threshold Value: The setpoint that triggers the alarm (numeric only)</w:t>
      </w:r>
    </w:p>
    <w:p>
      <w:r>
        <w:t>The latest measurement value and timestamp are displayed next to each rule for reference.</w:t>
      </w:r>
    </w:p>
    <w:p>
      <w:r>
        <w:rPr>
          <w:i/>
          <w:color w:val="666666"/>
        </w:rPr>
        <w:t>Note: Alarms only trigger for measurements received AFTER the alarm rule was created or last modified.</w:t>
      </w:r>
    </w:p>
    <w:p>
      <w:r>
        <w:br w:type="page"/>
      </w:r>
    </w:p>
    <w:p>
      <w:pPr>
        <w:pStyle w:val="Heading1"/>
      </w:pPr>
      <w:r>
        <w:rPr>
          <w:color w:val="1A73E8"/>
        </w:rPr>
        <w:t>4. System Configuration</w:t>
      </w:r>
    </w:p>
    <w:p>
      <w:pPr>
        <w:pStyle w:val="Heading2"/>
      </w:pPr>
      <w:r>
        <w:rPr>
          <w:color w:val="2C2C2C"/>
        </w:rPr>
        <w:t>4.1 Runtime Configuration</w:t>
      </w:r>
    </w:p>
    <w:p>
      <w:r>
        <w:t>Configure platform paths and ingestion settings:</w:t>
      </w:r>
    </w:p>
    <w:p>
      <w:pPr>
        <w:pStyle w:val="ListBullet"/>
      </w:pPr>
      <w:r>
        <w:t>Raw Data Folder: Where CSV files are read from</w:t>
      </w:r>
    </w:p>
    <w:p>
      <w:pPr>
        <w:pStyle w:val="ListBullet"/>
      </w:pPr>
      <w:r>
        <w:t>Reports Output Folder: Where generated reports are saved</w:t>
      </w:r>
    </w:p>
    <w:p>
      <w:pPr>
        <w:pStyle w:val="ListBullet"/>
      </w:pPr>
      <w:r>
        <w:t>Report Templates Folder: Where Excel templates are stored</w:t>
      </w:r>
    </w:p>
    <w:p>
      <w:pPr>
        <w:pStyle w:val="ListBullet"/>
      </w:pPr>
      <w:r>
        <w:t>Ingestion Interval: How often (in seconds) the system checks for new CSV files (minimum: 15s)</w:t>
      </w:r>
    </w:p>
    <w:p>
      <w:pPr>
        <w:pStyle w:val="Heading2"/>
      </w:pPr>
      <w:r>
        <w:rPr>
          <w:color w:val="2C2C2C"/>
        </w:rPr>
        <w:t>4.2 System Tags</w:t>
      </w:r>
    </w:p>
    <w:p>
      <w:r>
        <w:t>Manage the standardised tag library:</w:t>
      </w:r>
    </w:p>
    <w:p>
      <w:pPr>
        <w:pStyle w:val="ListBullet"/>
      </w:pPr>
      <w:r>
        <w:t>Add new tags with name and unit of measurement</w:t>
      </w:r>
    </w:p>
    <w:p>
      <w:pPr>
        <w:pStyle w:val="ListBullet"/>
      </w:pPr>
      <w:r>
        <w:t>Edit existing tags</w:t>
      </w:r>
    </w:p>
    <w:p>
      <w:pPr>
        <w:pStyle w:val="ListBullet"/>
      </w:pPr>
      <w:r>
        <w:t>Deactivate unused tags</w:t>
      </w:r>
    </w:p>
    <w:p>
      <w:r>
        <w:t>System tags are the standardised names used across all devices via tag mapping.</w:t>
      </w:r>
    </w:p>
    <w:p>
      <w:pPr>
        <w:pStyle w:val="Heading2"/>
      </w:pPr>
      <w:r>
        <w:rPr>
          <w:color w:val="2C2C2C"/>
        </w:rPr>
        <w:t>4.3 Alarm Categories</w:t>
      </w:r>
    </w:p>
    <w:p>
      <w:r>
        <w:t>Build a hierarchical category tree for organising devices:</w:t>
      </w:r>
    </w:p>
    <w:p>
      <w:pPr>
        <w:pStyle w:val="ListBullet"/>
      </w:pPr>
      <w:r>
        <w:t>Create categories with name, icon, and optional parent category</w:t>
      </w:r>
    </w:p>
    <w:p>
      <w:pPr>
        <w:pStyle w:val="ListBullet"/>
      </w:pPr>
      <w:r>
        <w:t>Assign devices to categories in Equipment Configuration</w:t>
      </w:r>
    </w:p>
    <w:p>
      <w:pPr>
        <w:pStyle w:val="ListBullet"/>
      </w:pPr>
      <w:r>
        <w:t>Categories are used for the Asset Tree display and category-scoped alarm rules</w:t>
      </w:r>
    </w:p>
    <w:p>
      <w:pPr>
        <w:pStyle w:val="Heading2"/>
      </w:pPr>
      <w:r>
        <w:rPr>
          <w:color w:val="2C2C2C"/>
        </w:rPr>
        <w:t>4.4 License Management</w:t>
      </w:r>
    </w:p>
    <w:p>
      <w:r>
        <w:t>View license status and upload new license files: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4703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4703"/>
          </w:tcPr>
          <w:p>
            <w:r>
              <w:t>Customer</w:t>
            </w:r>
          </w:p>
        </w:tc>
        <w:tc>
          <w:tcPr>
            <w:tcW w:type="dxa" w:w="4703"/>
          </w:tcPr>
          <w:p>
            <w:r>
              <w:t>Licensed organisation name</w:t>
            </w:r>
          </w:p>
        </w:tc>
      </w:tr>
      <w:tr>
        <w:tc>
          <w:tcPr>
            <w:tcW w:type="dxa" w:w="4703"/>
          </w:tcPr>
          <w:p>
            <w:r>
              <w:t>Tier</w:t>
            </w:r>
          </w:p>
        </w:tc>
        <w:tc>
          <w:tcPr>
            <w:tcW w:type="dxa" w:w="4703"/>
          </w:tcPr>
          <w:p>
            <w:r>
              <w:t>Basic (10 tags), Starter (50), Standard (250), Professional (500), Enterprise (1 000), Industrial (2 500), Unlimited</w:t>
            </w:r>
          </w:p>
        </w:tc>
      </w:tr>
      <w:tr>
        <w:tc>
          <w:tcPr>
            <w:tcW w:type="dxa" w:w="4703"/>
          </w:tcPr>
          <w:p>
            <w:r>
              <w:t>Modules</w:t>
            </w:r>
          </w:p>
        </w:tc>
        <w:tc>
          <w:tcPr>
            <w:tcW w:type="dxa" w:w="4703"/>
          </w:tcPr>
          <w:p>
            <w:r>
              <w:t>Licensed features: base, reports, messaging, protocol_ingestion, editor</w:t>
            </w:r>
          </w:p>
        </w:tc>
      </w:tr>
      <w:tr>
        <w:tc>
          <w:tcPr>
            <w:tcW w:type="dxa" w:w="4703"/>
          </w:tcPr>
          <w:p>
            <w:r>
              <w:t>Tags Used</w:t>
            </w:r>
          </w:p>
        </w:tc>
        <w:tc>
          <w:tcPr>
            <w:tcW w:type="dxa" w:w="4703"/>
          </w:tcPr>
          <w:p>
            <w:r>
              <w:t>Current mapped tag count vs. maximum allowed</w:t>
            </w:r>
          </w:p>
        </w:tc>
      </w:tr>
      <w:tr>
        <w:tc>
          <w:tcPr>
            <w:tcW w:type="dxa" w:w="4703"/>
          </w:tcPr>
          <w:p>
            <w:r>
              <w:t>Maintenance Expiry</w:t>
            </w:r>
          </w:p>
        </w:tc>
        <w:tc>
          <w:tcPr>
            <w:tcW w:type="dxa" w:w="4703"/>
          </w:tcPr>
          <w:p>
            <w:r>
              <w:t>Date until which updates and support are included</w:t>
            </w:r>
          </w:p>
        </w:tc>
      </w:tr>
      <w:tr>
        <w:tc>
          <w:tcPr>
            <w:tcW w:type="dxa" w:w="4703"/>
          </w:tcPr>
          <w:p>
            <w:r>
              <w:t>MAC Binding</w:t>
            </w:r>
          </w:p>
        </w:tc>
        <w:tc>
          <w:tcPr>
            <w:tcW w:type="dxa" w:w="4703"/>
          </w:tcPr>
          <w:p>
            <w:r>
              <w:t>License is locked to the server's network adapter MAC address</w:t>
            </w:r>
          </w:p>
        </w:tc>
      </w:tr>
    </w:tbl>
    <w:p/>
    <w:p>
      <w:r>
        <w:t>To install a new license, upload the .lic file in the License tab.</w:t>
      </w:r>
    </w:p>
    <w:p>
      <w:pPr>
        <w:pStyle w:val="Heading2"/>
      </w:pPr>
      <w:r>
        <w:rPr>
          <w:color w:val="2C2C2C"/>
        </w:rPr>
        <w:t>4.5 Measurement Editor (Add-on Module)</w:t>
      </w:r>
    </w:p>
    <w:p>
      <w:r>
        <w:t>When the license includes the 'editor' module, administrators can correct historical measurement values from the Explorer (pencil button in the range bar). Key administrative facts:</w:t>
      </w:r>
    </w:p>
    <w:p>
      <w:pPr>
        <w:pStyle w:val="ListBullet"/>
      </w:pPr>
      <w:r>
        <w:t>Writes are admin-only and require the 'editor' license module; all edit and revert actions are recorded in the audit log with user, kind, row count and period</w:t>
      </w:r>
    </w:p>
    <w:p>
      <w:pPr>
        <w:pStyle w:val="ListBullet"/>
      </w:pPr>
      <w:r>
        <w:t>Edits are non-destructive: originals are kept in dedicated tables (measurement_edit_batches / measurement_edits) and any batch can be reverted, newest-first</w:t>
      </w:r>
    </w:p>
    <w:p>
      <w:pPr>
        <w:pStyle w:val="ListBullet"/>
      </w:pPr>
      <w:r>
        <w:t>Edit markers and the edit history remain visible to all authenticated users even if the module is later removed from the license — past corrections stay explainable</w:t>
      </w:r>
    </w:p>
    <w:p>
      <w:pPr>
        <w:pStyle w:val="ListBullet"/>
      </w:pPr>
      <w:r>
        <w:t>Corrected values propagate everywhere automatically: charts, reports, exports, the hourly aggregate and the latest-value cache. Past alarm events are not rewritten</w:t>
      </w:r>
    </w:p>
    <w:p>
      <w:pPr>
        <w:pStyle w:val="ListBullet"/>
      </w:pPr>
      <w:r>
        <w:t>Offset semantics: analog tags accept percent or absolute offsets; totalizers accept absolute only (a percentage would scale the cumulative counter and distort consumption deltas); digital tags can be forced ON or OFF over a period</w:t>
      </w:r>
    </w:p>
    <w:p>
      <w:r>
        <w:br w:type="page"/>
      </w:r>
    </w:p>
    <w:p>
      <w:pPr>
        <w:pStyle w:val="Heading1"/>
      </w:pPr>
      <w:r>
        <w:rPr>
          <w:color w:val="1A73E8"/>
        </w:rPr>
        <w:t>5. Messaging Gateway Configuration</w:t>
      </w:r>
    </w:p>
    <w:p>
      <w:r>
        <w:t>Navigate to Messaging Center &gt; Configuration to manage gateways.</w:t>
      </w:r>
    </w:p>
    <w:p>
      <w:pPr>
        <w:pStyle w:val="Heading2"/>
      </w:pPr>
      <w:r>
        <w:rPr>
          <w:color w:val="2C2C2C"/>
        </w:rPr>
        <w:t>5.1 Gateway Types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Type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Use Case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Required Configuration</w:t>
            </w:r>
          </w:p>
        </w:tc>
      </w:tr>
      <w:tr>
        <w:tc>
          <w:tcPr>
            <w:tcW w:type="dxa" w:w="3135"/>
          </w:tcPr>
          <w:p>
            <w:r>
              <w:t>Teltonika RUT241</w:t>
            </w:r>
          </w:p>
        </w:tc>
        <w:tc>
          <w:tcPr>
            <w:tcW w:type="dxa" w:w="3135"/>
          </w:tcPr>
          <w:p>
            <w:r>
              <w:t>SMS via LTE router</w:t>
            </w:r>
          </w:p>
        </w:tc>
        <w:tc>
          <w:tcPr>
            <w:tcW w:type="dxa" w:w="3135"/>
          </w:tcPr>
          <w:p>
            <w:r>
              <w:t>Host IP, username, password, modem ID</w:t>
            </w:r>
          </w:p>
        </w:tc>
      </w:tr>
      <w:tr>
        <w:tc>
          <w:tcPr>
            <w:tcW w:type="dxa" w:w="3135"/>
          </w:tcPr>
          <w:p>
            <w:r>
              <w:t>Twilio</w:t>
            </w:r>
          </w:p>
        </w:tc>
        <w:tc>
          <w:tcPr>
            <w:tcW w:type="dxa" w:w="3135"/>
          </w:tcPr>
          <w:p>
            <w:r>
              <w:t>WhatsApp messages</w:t>
            </w:r>
          </w:p>
        </w:tc>
        <w:tc>
          <w:tcPr>
            <w:tcW w:type="dxa" w:w="3135"/>
          </w:tcPr>
          <w:p>
            <w:r>
              <w:t>Account SID, Auth Token, From number</w:t>
            </w:r>
          </w:p>
        </w:tc>
      </w:tr>
      <w:tr>
        <w:tc>
          <w:tcPr>
            <w:tcW w:type="dxa" w:w="3135"/>
          </w:tcPr>
          <w:p>
            <w:r>
              <w:t>Telegram</w:t>
            </w:r>
          </w:p>
        </w:tc>
        <w:tc>
          <w:tcPr>
            <w:tcW w:type="dxa" w:w="3135"/>
          </w:tcPr>
          <w:p>
            <w:r>
              <w:t>Telegram bot messages</w:t>
            </w:r>
          </w:p>
        </w:tc>
        <w:tc>
          <w:tcPr>
            <w:tcW w:type="dxa" w:w="3135"/>
          </w:tcPr>
          <w:p>
            <w:r>
              <w:t>Bot Token (from @BotFather), Parse mode</w:t>
            </w:r>
          </w:p>
        </w:tc>
      </w:tr>
      <w:tr>
        <w:tc>
          <w:tcPr>
            <w:tcW w:type="dxa" w:w="3135"/>
          </w:tcPr>
          <w:p>
            <w:r>
              <w:t>SMTP</w:t>
            </w:r>
          </w:p>
        </w:tc>
        <w:tc>
          <w:tcPr>
            <w:tcW w:type="dxa" w:w="3135"/>
          </w:tcPr>
          <w:p>
            <w:r>
              <w:t>Email notifications</w:t>
            </w:r>
          </w:p>
        </w:tc>
        <w:tc>
          <w:tcPr>
            <w:tcW w:type="dxa" w:w="3135"/>
          </w:tcPr>
          <w:p>
            <w:r>
              <w:t>SMTP host, port, TLS, username, password, from address</w:t>
            </w:r>
          </w:p>
        </w:tc>
      </w:tr>
      <w:tr>
        <w:tc>
          <w:tcPr>
            <w:tcW w:type="dxa" w:w="3135"/>
          </w:tcPr>
          <w:p>
            <w:r>
              <w:t>Generic HTTP</w:t>
            </w:r>
          </w:p>
        </w:tc>
        <w:tc>
          <w:tcPr>
            <w:tcW w:type="dxa" w:w="3135"/>
          </w:tcPr>
          <w:p>
            <w:r>
              <w:t>Custom webhook/API</w:t>
            </w:r>
          </w:p>
        </w:tc>
        <w:tc>
          <w:tcPr>
            <w:tcW w:type="dxa" w:w="3135"/>
          </w:tcPr>
          <w:p>
            <w:r>
              <w:t>URL, method, headers, body template</w:t>
            </w:r>
          </w:p>
        </w:tc>
      </w:tr>
    </w:tbl>
    <w:p/>
    <w:p>
      <w:pPr>
        <w:pStyle w:val="Heading2"/>
      </w:pPr>
      <w:r>
        <w:rPr>
          <w:color w:val="2C2C2C"/>
        </w:rPr>
        <w:t>5.2 Adding a Gateway</w:t>
      </w:r>
    </w:p>
    <w:p>
      <w:pPr>
        <w:pStyle w:val="ListNumber"/>
      </w:pPr>
      <w:r>
        <w:t>Click 'Add Gateway' in the Configuration tab</w:t>
      </w:r>
    </w:p>
    <w:p>
      <w:pPr>
        <w:pStyle w:val="ListNumber"/>
      </w:pPr>
      <w:r>
        <w:t>Select the gateway type</w:t>
      </w:r>
    </w:p>
    <w:p>
      <w:pPr>
        <w:pStyle w:val="ListNumber"/>
      </w:pPr>
      <w:r>
        <w:t>Enter the required configuration fields</w:t>
      </w:r>
    </w:p>
    <w:p>
      <w:pPr>
        <w:pStyle w:val="ListNumber"/>
      </w:pPr>
      <w:r>
        <w:t>Set as Active and optionally as Default</w:t>
      </w:r>
    </w:p>
    <w:p>
      <w:pPr>
        <w:pStyle w:val="ListNumber"/>
      </w:pPr>
      <w:r>
        <w:t>Save the gateway</w:t>
      </w:r>
    </w:p>
    <w:p>
      <w:pPr>
        <w:pStyle w:val="ListNumber"/>
      </w:pPr>
      <w:r>
        <w:t>Use the 'Test Send' feature to verify connectivity</w:t>
      </w:r>
    </w:p>
    <w:p>
      <w:pPr>
        <w:pStyle w:val="Heading2"/>
      </w:pPr>
      <w:r>
        <w:rPr>
          <w:color w:val="2C2C2C"/>
        </w:rPr>
        <w:t>5.3 Telegram Bot Setup</w:t>
      </w:r>
    </w:p>
    <w:p>
      <w:pPr>
        <w:pStyle w:val="ListNumber"/>
      </w:pPr>
      <w:r>
        <w:t>Open Telegram and message @BotFather</w:t>
      </w:r>
    </w:p>
    <w:p>
      <w:pPr>
        <w:pStyle w:val="ListNumber"/>
      </w:pPr>
      <w:r>
        <w:t>Send /newbot and follow the prompts to create a bot</w:t>
      </w:r>
    </w:p>
    <w:p>
      <w:pPr>
        <w:pStyle w:val="ListNumber"/>
      </w:pPr>
      <w:r>
        <w:t>Copy the bot token (format: 123456:ABC-DEF...)</w:t>
      </w:r>
    </w:p>
    <w:p>
      <w:pPr>
        <w:pStyle w:val="ListNumber"/>
      </w:pPr>
      <w:r>
        <w:t>Add the bot to your group chat</w:t>
      </w:r>
    </w:p>
    <w:p>
      <w:pPr>
        <w:pStyle w:val="ListNumber"/>
      </w:pPr>
      <w:r>
        <w:t>Send a message in the group, then call the getUpdates API to find the chat_id</w:t>
      </w:r>
    </w:p>
    <w:p>
      <w:pPr>
        <w:pStyle w:val="ListNumber"/>
      </w:pPr>
      <w:r>
        <w:t>Configure the gateway with the bot token and use the chat_id as the contact's Telegram Chat ID</w:t>
      </w:r>
    </w:p>
    <w:p>
      <w:pPr>
        <w:pStyle w:val="Heading2"/>
      </w:pPr>
      <w:r>
        <w:rPr>
          <w:color w:val="2C2C2C"/>
        </w:rPr>
        <w:t>5.4 SMTP Email Setup</w:t>
      </w:r>
    </w:p>
    <w:p>
      <w:r>
        <w:t>For Gmail, use an App Password (not your account password):</w:t>
      </w:r>
    </w:p>
    <w:p>
      <w:pPr>
        <w:pStyle w:val="ListNumber"/>
      </w:pPr>
      <w:r>
        <w:t>Go to Google Account &gt; Security &gt; 2-Step Verification &gt; App Passwords</w:t>
      </w:r>
    </w:p>
    <w:p>
      <w:pPr>
        <w:pStyle w:val="ListNumber"/>
      </w:pPr>
      <w:r>
        <w:t>Generate a new app password for 'Mail'</w:t>
      </w:r>
    </w:p>
    <w:p>
      <w:pPr>
        <w:pStyle w:val="ListNumber"/>
      </w:pPr>
      <w:r>
        <w:t>Use smtp.gmail.com, port 587, TLS enabled, your Gmail as username, and the app password</w:t>
      </w:r>
    </w:p>
    <w:p>
      <w:pPr>
        <w:pStyle w:val="Heading2"/>
      </w:pPr>
      <w:r>
        <w:rPr>
          <w:color w:val="2C2C2C"/>
        </w:rPr>
        <w:t>5.5 Escalation Flow</w:t>
      </w:r>
    </w:p>
    <w:p>
      <w:r>
        <w:t>When an alarm triggers and matches an alarm rule:</w:t>
      </w:r>
    </w:p>
    <w:p>
      <w:pPr>
        <w:pStyle w:val="ListNumber"/>
      </w:pPr>
      <w:r>
        <w:t>The system queues messages for Level 1 contacts in the assigned escalation list</w:t>
      </w:r>
    </w:p>
    <w:p>
      <w:pPr>
        <w:pStyle w:val="ListNumber"/>
      </w:pPr>
      <w:r>
        <w:t>Messages are sent with an ACK token for acknowledgment</w:t>
      </w:r>
    </w:p>
    <w:p>
      <w:pPr>
        <w:pStyle w:val="ListNumber"/>
      </w:pPr>
      <w:r>
        <w:t>If no acknowledgment is received within the response timeout (default: 300 seconds), the system escalates to Level 2</w:t>
      </w:r>
    </w:p>
    <w:p>
      <w:pPr>
        <w:pStyle w:val="ListNumber"/>
      </w:pPr>
      <w:r>
        <w:t>Escalation continues through all levels, including parent list members if configured</w:t>
      </w:r>
    </w:p>
    <w:p>
      <w:pPr>
        <w:pStyle w:val="ListNumber"/>
      </w:pPr>
      <w:r>
        <w:t>Escalation stops when someone acknowledges or the maximum escalation level is reached</w:t>
      </w:r>
    </w:p>
    <w:p>
      <w:pPr>
        <w:pStyle w:val="ListNumber"/>
      </w:pPr>
      <w:r>
        <w:t>The cooldown period prevents repeat notifications for the same ongoing alarm</w:t>
      </w:r>
    </w:p>
    <w:p>
      <w:r>
        <w:br w:type="page"/>
      </w:r>
    </w:p>
    <w:p>
      <w:pPr>
        <w:pStyle w:val="Heading1"/>
      </w:pPr>
      <w:r>
        <w:rPr>
          <w:color w:val="1A73E8"/>
        </w:rPr>
        <w:t>6. Data Ingestion</w:t>
      </w:r>
    </w:p>
    <w:p>
      <w:r>
        <w:t>SyncTide supports several ingestion modes, configured per device on the Communication tab of the Equipment page:</w:t>
      </w:r>
    </w:p>
    <w:p>
      <w:pPr>
        <w:pStyle w:val="ListBullet"/>
      </w:pPr>
      <w:r>
        <w:t>Protocol polling (Modbus TCP, OPC UA, IEC 60870-5-104, MQTT/Sparkplug B) — SyncTide connects to the device or broker and reads each configured register/NodeId/point/metric at a configurable interval. One worker process per protocol ensures a misbehaving driver cannot affect the others.</w:t>
      </w:r>
    </w:p>
    <w:p>
      <w:pPr>
        <w:pStyle w:val="ListBullet"/>
      </w:pPr>
      <w:r>
        <w:t>CSV ingestion — drop files into the configured raw-data folder (locally or via FTP); the ingestion worker picks them up and imports them.</w:t>
      </w:r>
    </w:p>
    <w:p>
      <w:r>
        <w:rPr>
          <w:i/>
          <w:color w:val="666666"/>
        </w:rPr>
        <w:t>Note: Protocol polling requires a licence that includes the 'protocol_ingestion' module.</w:t>
      </w:r>
    </w:p>
    <w:p>
      <w:pPr>
        <w:pStyle w:val="Heading2"/>
      </w:pPr>
      <w:r>
        <w:rPr>
          <w:color w:val="2C2C2C"/>
        </w:rPr>
        <w:t>6.1 CSV File Format</w:t>
      </w:r>
    </w:p>
    <w:p>
      <w:r>
        <w:t>SyncTide ingests CSV files with the following requirements: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Column</w:t>
            </w:r>
          </w:p>
        </w:tc>
        <w:tc>
          <w:tcPr>
            <w:tcW w:type="dxa" w:w="3135"/>
          </w:tcPr>
          <w:p>
            <w:r>
              <w:rPr>
                <w:b/>
              </w:rPr>
              <w:t>Required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time_stamp</w:t>
            </w:r>
          </w:p>
        </w:tc>
        <w:tc>
          <w:tcPr>
            <w:tcW w:type="dxa" w:w="3135"/>
          </w:tcPr>
          <w:p>
            <w:r>
              <w:t>Yes</w:t>
            </w:r>
          </w:p>
        </w:tc>
        <w:tc>
          <w:tcPr>
            <w:tcW w:type="dxa" w:w="3135"/>
          </w:tcPr>
          <w:p>
            <w:r>
              <w:t>Timestamp of the measurement (multiple formats supported)</w:t>
            </w:r>
          </w:p>
        </w:tc>
      </w:tr>
      <w:tr>
        <w:tc>
          <w:tcPr>
            <w:tcW w:type="dxa" w:w="3135"/>
          </w:tcPr>
          <w:p>
            <w:r>
              <w:t>tag_name</w:t>
            </w:r>
          </w:p>
        </w:tc>
        <w:tc>
          <w:tcPr>
            <w:tcW w:type="dxa" w:w="3135"/>
          </w:tcPr>
          <w:p>
            <w:r>
              <w:t>Yes</w:t>
            </w:r>
          </w:p>
        </w:tc>
        <w:tc>
          <w:tcPr>
            <w:tcW w:type="dxa" w:w="3135"/>
          </w:tcPr>
          <w:p>
            <w:r>
              <w:t>Name of the measured parameter</w:t>
            </w:r>
          </w:p>
        </w:tc>
      </w:tr>
      <w:tr>
        <w:tc>
          <w:tcPr>
            <w:tcW w:type="dxa" w:w="3135"/>
          </w:tcPr>
          <w:p>
            <w:r>
              <w:t>value</w:t>
            </w:r>
          </w:p>
        </w:tc>
        <w:tc>
          <w:tcPr>
            <w:tcW w:type="dxa" w:w="3135"/>
          </w:tcPr>
          <w:p>
            <w:r>
              <w:t>Yes</w:t>
            </w:r>
          </w:p>
        </w:tc>
        <w:tc>
          <w:tcPr>
            <w:tcW w:type="dxa" w:w="3135"/>
          </w:tcPr>
          <w:p>
            <w:r>
              <w:t>Numeric measurement value</w:t>
            </w:r>
          </w:p>
        </w:tc>
      </w:tr>
      <w:tr>
        <w:tc>
          <w:tcPr>
            <w:tcW w:type="dxa" w:w="3135"/>
          </w:tcPr>
          <w:p>
            <w:r>
              <w:t>unit</w:t>
            </w:r>
          </w:p>
        </w:tc>
        <w:tc>
          <w:tcPr>
            <w:tcW w:type="dxa" w:w="3135"/>
          </w:tcPr>
          <w:p>
            <w:r>
              <w:t>No</w:t>
            </w:r>
          </w:p>
        </w:tc>
        <w:tc>
          <w:tcPr>
            <w:tcW w:type="dxa" w:w="3135"/>
          </w:tcPr>
          <w:p>
            <w:r>
              <w:t>Unit of measurement (optional)</w:t>
            </w:r>
          </w:p>
        </w:tc>
      </w:tr>
    </w:tbl>
    <w:p/>
    <w:p>
      <w:r>
        <w:t>Supported delimiters: comma, semicolon, pipe, tab (auto-detected).</w:t>
      </w:r>
    </w:p>
    <w:p>
      <w:r>
        <w:t>Supported timestamp formats: ISO 8601, DD/MM/YYYY HH:MM:SS, and many other common formats.</w:t>
      </w:r>
    </w:p>
    <w:p>
      <w:pPr>
        <w:pStyle w:val="Heading2"/>
      </w:pPr>
      <w:r>
        <w:rPr>
          <w:color w:val="2C2C2C"/>
        </w:rPr>
        <w:t>6.2 File Placement</w:t>
      </w:r>
    </w:p>
    <w:p>
      <w:r>
        <w:t>Place CSV files in the configured Raw Data Folder. The ingestion worker automatically picks up new files at the configured interval.</w:t>
      </w:r>
    </w:p>
    <w:p>
      <w:pPr>
        <w:pStyle w:val="ListBullet"/>
      </w:pPr>
      <w:r>
        <w:t>Files are tracked by SHA-256 hash — the same file is never imported twice</w:t>
      </w:r>
    </w:p>
    <w:p>
      <w:pPr>
        <w:pStyle w:val="ListBullet"/>
      </w:pPr>
      <w:r>
        <w:t>Duplicate measurements (same device + timestamp + tag) are automatically skipped</w:t>
      </w:r>
    </w:p>
    <w:p>
      <w:pPr>
        <w:pStyle w:val="ListBullet"/>
      </w:pPr>
      <w:r>
        <w:t>Invalid rows (bad timestamps, non-numeric values) are dropped with logging</w:t>
      </w:r>
    </w:p>
    <w:p>
      <w:pPr>
        <w:pStyle w:val="Heading2"/>
      </w:pPr>
      <w:r>
        <w:rPr>
          <w:color w:val="2C2C2C"/>
        </w:rPr>
        <w:t>6.3 Folder Structure</w:t>
      </w:r>
    </w:p>
    <w:p>
      <w:r>
        <w:t>Organise files by device using subfolders:</w:t>
      </w:r>
    </w:p>
    <w:p>
      <w:pPr>
        <w:pStyle w:val="ListBullet"/>
      </w:pPr>
      <w:r>
        <w:t>raw_data/DeviceCode_1/file1.csv</w:t>
      </w:r>
    </w:p>
    <w:p>
      <w:pPr>
        <w:pStyle w:val="ListBullet"/>
      </w:pPr>
      <w:r>
        <w:t>raw_data/DeviceCode_2/file2.csv</w:t>
      </w:r>
    </w:p>
    <w:p>
      <w:r>
        <w:t>The folder name is used as the device code. Devices are created automatically on first file import.</w:t>
      </w:r>
    </w:p>
    <w:p>
      <w:r>
        <w:br w:type="page"/>
      </w:r>
    </w:p>
    <w:p>
      <w:pPr>
        <w:pStyle w:val="Heading1"/>
      </w:pPr>
      <w:r>
        <w:rPr>
          <w:color w:val="1A73E8"/>
        </w:rPr>
        <w:t>7. Backup &amp; Maintenance</w:t>
      </w:r>
    </w:p>
    <w:p>
      <w:pPr>
        <w:pStyle w:val="Heading2"/>
      </w:pPr>
      <w:r>
        <w:rPr>
          <w:color w:val="2C2C2C"/>
        </w:rPr>
        <w:t>7.1 Database Backup</w:t>
      </w:r>
    </w:p>
    <w:p>
      <w:r>
        <w:t>Use PostgreSQL pg_dump for database backups:</w:t>
      </w:r>
    </w:p>
    <w:p>
      <w:r>
        <w:t xml:space="preserve">  pg_dump -U synctide -d synctide_db &gt; backup_YYYYMMDD.sql</w:t>
      </w:r>
    </w:p>
    <w:p>
      <w:r>
        <w:t>Schedule regular backups using Windows Task Scheduler or a cron-equivalent.</w:t>
      </w:r>
    </w:p>
    <w:p>
      <w:pPr>
        <w:pStyle w:val="Heading2"/>
      </w:pPr>
      <w:r>
        <w:rPr>
          <w:color w:val="2C2C2C"/>
        </w:rPr>
        <w:t>7.2 Log Files</w:t>
      </w:r>
    </w:p>
    <w:p>
      <w:r>
        <w:t>SyncTide maintains rotating log files in the logs/ directory: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Log File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Contents</w:t>
            </w:r>
          </w:p>
        </w:tc>
        <w:tc>
          <w:tcPr>
            <w:tcW w:type="dxa" w:w="3135"/>
          </w:tcPr>
          <w:p>
            <w:r>
              <w:rPr>
                <w:b/>
              </w:rPr>
              <w:t>Rotation</w:t>
            </w:r>
          </w:p>
        </w:tc>
      </w:tr>
      <w:tr>
        <w:tc>
          <w:tcPr>
            <w:tcW w:type="dxa" w:w="3135"/>
          </w:tcPr>
          <w:p>
            <w:r>
              <w:t>backend.log</w:t>
            </w:r>
          </w:p>
        </w:tc>
        <w:tc>
          <w:tcPr>
            <w:tcW w:type="dxa" w:w="3135"/>
          </w:tcPr>
          <w:p>
            <w:r>
              <w:t>API server logs</w:t>
            </w:r>
          </w:p>
        </w:tc>
        <w:tc>
          <w:tcPr>
            <w:tcW w:type="dxa" w:w="3135"/>
          </w:tcPr>
          <w:p>
            <w:r>
              <w:t>5 MB x 5 backups</w:t>
            </w:r>
          </w:p>
        </w:tc>
      </w:tr>
      <w:tr>
        <w:tc>
          <w:tcPr>
            <w:tcW w:type="dxa" w:w="3135"/>
          </w:tcPr>
          <w:p>
            <w:r>
              <w:t>messaging.log</w:t>
            </w:r>
          </w:p>
        </w:tc>
        <w:tc>
          <w:tcPr>
            <w:tcW w:type="dxa" w:w="3135"/>
          </w:tcPr>
          <w:p>
            <w:r>
              <w:t>Messaging engine logs</w:t>
            </w:r>
          </w:p>
        </w:tc>
        <w:tc>
          <w:tcPr>
            <w:tcW w:type="dxa" w:w="3135"/>
          </w:tcPr>
          <w:p>
            <w:r>
              <w:t>5 MB x 5 backups</w:t>
            </w:r>
          </w:p>
        </w:tc>
      </w:tr>
      <w:tr>
        <w:tc>
          <w:tcPr>
            <w:tcW w:type="dxa" w:w="3135"/>
          </w:tcPr>
          <w:p>
            <w:r>
              <w:t>health_monitor.log</w:t>
            </w:r>
          </w:p>
        </w:tc>
        <w:tc>
          <w:tcPr>
            <w:tcW w:type="dxa" w:w="3135"/>
          </w:tcPr>
          <w:p>
            <w:r>
              <w:t>Service health monitor</w:t>
            </w:r>
          </w:p>
        </w:tc>
        <w:tc>
          <w:tcPr>
            <w:tcW w:type="dxa" w:w="3135"/>
          </w:tcPr>
          <w:p>
            <w:r>
              <w:t>5 MB x 5 backups</w:t>
            </w:r>
          </w:p>
        </w:tc>
      </w:tr>
      <w:tr>
        <w:tc>
          <w:tcPr>
            <w:tcW w:type="dxa" w:w="3135"/>
          </w:tcPr>
          <w:p>
            <w:r>
              <w:t>ingestion.log</w:t>
            </w:r>
          </w:p>
        </w:tc>
        <w:tc>
          <w:tcPr>
            <w:tcW w:type="dxa" w:w="3135"/>
          </w:tcPr>
          <w:p>
            <w:r>
              <w:t>CSV ingestion worker</w:t>
            </w:r>
          </w:p>
        </w:tc>
        <w:tc>
          <w:tcPr>
            <w:tcW w:type="dxa" w:w="3135"/>
          </w:tcPr>
          <w:p>
            <w:r>
              <w:t>10 MB x 3 backups</w:t>
            </w:r>
          </w:p>
        </w:tc>
      </w:tr>
      <w:tr>
        <w:tc>
          <w:tcPr>
            <w:tcW w:type="dxa" w:w="3135"/>
          </w:tcPr>
          <w:p>
            <w:r>
              <w:t>modbus_poller.log</w:t>
            </w:r>
          </w:p>
        </w:tc>
        <w:tc>
          <w:tcPr>
            <w:tcW w:type="dxa" w:w="3135"/>
          </w:tcPr>
          <w:p>
            <w:r>
              <w:t>Modbus TCP poller</w:t>
            </w:r>
          </w:p>
        </w:tc>
        <w:tc>
          <w:tcPr>
            <w:tcW w:type="dxa" w:w="3135"/>
          </w:tcPr>
          <w:p>
            <w:r>
              <w:t>5 MB x 5 backups</w:t>
            </w:r>
          </w:p>
        </w:tc>
      </w:tr>
      <w:tr>
        <w:tc>
          <w:tcPr>
            <w:tcW w:type="dxa" w:w="3135"/>
          </w:tcPr>
          <w:p>
            <w:r>
              <w:t>opcua_poller.log</w:t>
            </w:r>
          </w:p>
        </w:tc>
        <w:tc>
          <w:tcPr>
            <w:tcW w:type="dxa" w:w="3135"/>
          </w:tcPr>
          <w:p>
            <w:r>
              <w:t>OPC UA poller</w:t>
            </w:r>
          </w:p>
        </w:tc>
        <w:tc>
          <w:tcPr>
            <w:tcW w:type="dxa" w:w="3135"/>
          </w:tcPr>
          <w:p>
            <w:r>
              <w:t>5 MB x 5 backups</w:t>
            </w:r>
          </w:p>
        </w:tc>
      </w:tr>
    </w:tbl>
    <w:p/>
    <w:p>
      <w:pPr>
        <w:pStyle w:val="Heading2"/>
      </w:pPr>
      <w:r>
        <w:rPr>
          <w:color w:val="2C2C2C"/>
        </w:rPr>
        <w:t>7.3 Service Management</w:t>
      </w:r>
    </w:p>
    <w:p>
      <w:r>
        <w:t>SyncTide runs as eleven NSSM-managed Windows services:</w:t>
      </w:r>
    </w:p>
    <w:p>
      <w:pPr>
        <w:pStyle w:val="ListBullet"/>
      </w:pPr>
      <w:r>
        <w:t>SyncTideBackend — API server (FastAPI), also serves the web UI at /ui</w:t>
      </w:r>
    </w:p>
    <w:p>
      <w:pPr>
        <w:pStyle w:val="ListBullet"/>
      </w:pPr>
      <w:r>
        <w:t>SyncTideAlarms — real-time alarm evaluator</w:t>
      </w:r>
    </w:p>
    <w:p>
      <w:pPr>
        <w:pStyle w:val="ListBullet"/>
      </w:pPr>
      <w:r>
        <w:t>SyncTideIngestion — CSV/FTP file ingestion worker</w:t>
      </w:r>
    </w:p>
    <w:p>
      <w:pPr>
        <w:pStyle w:val="ListBullet"/>
      </w:pPr>
      <w:r>
        <w:t>SyncTideModbus — Modbus TCP poller</w:t>
      </w:r>
    </w:p>
    <w:p>
      <w:pPr>
        <w:pStyle w:val="ListBullet"/>
      </w:pPr>
      <w:r>
        <w:t>SyncTideOPCUA — OPC UA poller</w:t>
      </w:r>
    </w:p>
    <w:p>
      <w:pPr>
        <w:pStyle w:val="ListBullet"/>
      </w:pPr>
      <w:r>
        <w:t>SyncTideIEC104 — IEC 60870-5-104 poller</w:t>
      </w:r>
    </w:p>
    <w:p>
      <w:pPr>
        <w:pStyle w:val="ListBullet"/>
      </w:pPr>
      <w:r>
        <w:t>SyncTideMQTT — MQTT/Sparkplug B subscriber</w:t>
      </w:r>
    </w:p>
    <w:p>
      <w:pPr>
        <w:pStyle w:val="ListBullet"/>
      </w:pPr>
      <w:r>
        <w:t>SyncTideProxy — Caddy reverse proxy serving the app + UI on the LAN</w:t>
      </w:r>
    </w:p>
    <w:p>
      <w:pPr>
        <w:pStyle w:val="ListBullet"/>
      </w:pPr>
      <w:r>
        <w:t>SyncTideTelegramInbound — inbound Telegram acknowledgment listener</w:t>
      </w:r>
    </w:p>
    <w:p>
      <w:pPr>
        <w:pStyle w:val="ListBullet"/>
      </w:pPr>
      <w:r>
        <w:t>SyncTideHealthMonitor — service health monitor</w:t>
      </w:r>
    </w:p>
    <w:p>
      <w:pPr>
        <w:pStyle w:val="ListBullet"/>
      </w:pPr>
      <w:r>
        <w:t>SyncTideBackup — scheduled database/volume backups</w:t>
      </w:r>
    </w:p>
    <w:p>
      <w:pPr>
        <w:pStyle w:val="ListBullet"/>
      </w:pPr>
      <w:r>
        <w:t>Use services.msc or PowerShell (Start-Service, Stop-Service, Restart-Service) to manage</w:t>
      </w:r>
    </w:p>
    <w:p>
      <w:r>
        <w:t>NSSM automatically restarts a crashed service. The health monitor watches service state and surfaces failures.</w:t>
      </w:r>
    </w:p>
    <w:sectPr w:rsidR="00FC693F" w:rsidRPr="0006063C" w:rsidSect="00034616">
      <w:headerReference w:type="default" r:id="rId9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1728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31520" cy="55986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55986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80"/>
        </w:tcPr>
        <w:p>
          <w:pPr>
            <w:jc w:val="right"/>
          </w:pPr>
          <w:r>
            <w:rPr>
              <w:rFonts w:ascii="Calibri" w:hAnsi="Calibri"/>
              <w:color w:val="999999"/>
              <w:sz w:val="16"/>
            </w:rPr>
            <w:t>SyncTide — Administrator Manual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before="0"/>
    </w:pPr>
    <w:rPr>
      <w:rFonts w:ascii="Calibri" w:hAnsi="Calibri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